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09341" w14:textId="77777777" w:rsidR="00D5396D" w:rsidRDefault="00D5396D" w:rsidP="0099775A">
      <w:pPr>
        <w:tabs>
          <w:tab w:val="left" w:pos="4489"/>
        </w:tabs>
      </w:pPr>
    </w:p>
    <w:p w14:paraId="3F9E0306" w14:textId="77777777" w:rsidR="00D5396D" w:rsidRDefault="00D5396D" w:rsidP="00D5396D">
      <w:pPr>
        <w:pStyle w:val="Nadpis1"/>
      </w:pPr>
      <w:r w:rsidRPr="00DF66FA">
        <w:t>Stručná zpráva z výcvikového tábora</w:t>
      </w:r>
    </w:p>
    <w:p w14:paraId="2BE6D1ED" w14:textId="77777777" w:rsidR="00D5396D" w:rsidRDefault="00D5396D" w:rsidP="00D5396D">
      <w:pPr>
        <w:pStyle w:val="Nadpis1"/>
        <w:pBdr>
          <w:bottom w:val="single" w:sz="12" w:space="1" w:color="auto"/>
        </w:pBdr>
      </w:pPr>
      <w:r>
        <w:t>Sekce SCM oštěp</w:t>
      </w:r>
    </w:p>
    <w:p w14:paraId="51103548" w14:textId="18B70304" w:rsidR="00D5396D" w:rsidRPr="00DF66FA" w:rsidRDefault="00D5396D" w:rsidP="00D835CE">
      <w:pPr>
        <w:pStyle w:val="Nadpis1"/>
        <w:rPr>
          <w:sz w:val="32"/>
          <w:szCs w:val="32"/>
        </w:rPr>
      </w:pPr>
      <w:r w:rsidRPr="00DF66FA">
        <w:rPr>
          <w:sz w:val="32"/>
          <w:szCs w:val="32"/>
        </w:rPr>
        <w:t>Základní přehled</w:t>
      </w:r>
    </w:p>
    <w:tbl>
      <w:tblPr>
        <w:tblW w:w="793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5811"/>
      </w:tblGrid>
      <w:tr w:rsidR="00D5396D" w:rsidRPr="000B7CAA" w14:paraId="70B3A7AF" w14:textId="77777777" w:rsidTr="0008671E">
        <w:tc>
          <w:tcPr>
            <w:tcW w:w="2127" w:type="dxa"/>
            <w:shd w:val="clear" w:color="auto" w:fill="auto"/>
          </w:tcPr>
          <w:p w14:paraId="75D8F03B" w14:textId="77777777" w:rsidR="00D5396D" w:rsidRPr="000B7CAA" w:rsidRDefault="00D5396D" w:rsidP="0008671E">
            <w:pPr>
              <w:pStyle w:val="Odstavecseseznamem"/>
              <w:spacing w:line="240" w:lineRule="auto"/>
              <w:ind w:left="0"/>
            </w:pPr>
            <w:r w:rsidRPr="000B7CAA">
              <w:t>termín</w:t>
            </w:r>
          </w:p>
        </w:tc>
        <w:tc>
          <w:tcPr>
            <w:tcW w:w="5811" w:type="dxa"/>
            <w:shd w:val="clear" w:color="auto" w:fill="auto"/>
          </w:tcPr>
          <w:p w14:paraId="1E8508E9" w14:textId="32179B3A" w:rsidR="00D5396D" w:rsidRPr="000B7CAA" w:rsidRDefault="00B477F1" w:rsidP="0008671E">
            <w:pPr>
              <w:pStyle w:val="Odstavecseseznamem"/>
              <w:spacing w:line="240" w:lineRule="auto"/>
              <w:ind w:left="0"/>
            </w:pPr>
            <w:r>
              <w:t>6.2-9.2.</w:t>
            </w:r>
            <w:r w:rsidR="00D5396D">
              <w:t>2025</w:t>
            </w:r>
          </w:p>
        </w:tc>
      </w:tr>
      <w:tr w:rsidR="00D5396D" w:rsidRPr="000B7CAA" w14:paraId="0F962CCA" w14:textId="77777777" w:rsidTr="0008671E">
        <w:tc>
          <w:tcPr>
            <w:tcW w:w="2127" w:type="dxa"/>
            <w:shd w:val="clear" w:color="auto" w:fill="auto"/>
          </w:tcPr>
          <w:p w14:paraId="3734EAFF" w14:textId="77777777" w:rsidR="00D5396D" w:rsidRPr="000B7CAA" w:rsidRDefault="00D5396D" w:rsidP="0008671E">
            <w:pPr>
              <w:pStyle w:val="Odstavecseseznamem"/>
              <w:spacing w:line="240" w:lineRule="auto"/>
              <w:ind w:left="0"/>
            </w:pPr>
            <w:r w:rsidRPr="000B7CAA">
              <w:t xml:space="preserve">místo </w:t>
            </w:r>
          </w:p>
        </w:tc>
        <w:tc>
          <w:tcPr>
            <w:tcW w:w="5811" w:type="dxa"/>
            <w:shd w:val="clear" w:color="auto" w:fill="auto"/>
          </w:tcPr>
          <w:p w14:paraId="04280D62" w14:textId="482AA905" w:rsidR="00D5396D" w:rsidRPr="000B7CAA" w:rsidRDefault="00B477F1" w:rsidP="0008671E">
            <w:pPr>
              <w:pStyle w:val="Odstavecseseznamem"/>
              <w:spacing w:line="240" w:lineRule="auto"/>
              <w:ind w:left="0"/>
            </w:pPr>
            <w:r>
              <w:t>Nymburk</w:t>
            </w:r>
          </w:p>
        </w:tc>
      </w:tr>
      <w:tr w:rsidR="00D5396D" w:rsidRPr="000B7CAA" w14:paraId="5E014535" w14:textId="77777777" w:rsidTr="0008671E">
        <w:tc>
          <w:tcPr>
            <w:tcW w:w="2127" w:type="dxa"/>
            <w:shd w:val="clear" w:color="auto" w:fill="auto"/>
          </w:tcPr>
          <w:p w14:paraId="0F41001A" w14:textId="77777777" w:rsidR="00D5396D" w:rsidRPr="000B7CAA" w:rsidRDefault="00D5396D" w:rsidP="0008671E">
            <w:pPr>
              <w:pStyle w:val="Odstavecseseznamem"/>
              <w:spacing w:line="240" w:lineRule="auto"/>
              <w:ind w:left="0"/>
            </w:pPr>
            <w:r w:rsidRPr="000B7CAA">
              <w:t>vedoucí</w:t>
            </w:r>
          </w:p>
        </w:tc>
        <w:tc>
          <w:tcPr>
            <w:tcW w:w="5811" w:type="dxa"/>
            <w:shd w:val="clear" w:color="auto" w:fill="auto"/>
          </w:tcPr>
          <w:p w14:paraId="4BAD9A32" w14:textId="77777777" w:rsidR="00D5396D" w:rsidRPr="000B7CAA" w:rsidRDefault="00D5396D" w:rsidP="0008671E">
            <w:pPr>
              <w:pStyle w:val="Odstavecseseznamem"/>
              <w:spacing w:line="240" w:lineRule="auto"/>
              <w:ind w:left="0"/>
            </w:pPr>
            <w:r>
              <w:t>David Sekerák</w:t>
            </w:r>
          </w:p>
        </w:tc>
      </w:tr>
    </w:tbl>
    <w:p w14:paraId="71C8E24F" w14:textId="77777777" w:rsidR="00D5396D" w:rsidRDefault="00D5396D" w:rsidP="00D5396D">
      <w:pPr>
        <w:ind w:left="1418" w:hanging="1418"/>
      </w:pPr>
    </w:p>
    <w:p w14:paraId="429EEBA8" w14:textId="29D769F9" w:rsidR="00D5396D" w:rsidRPr="003A70B1" w:rsidRDefault="00D5396D" w:rsidP="00D5396D">
      <w:pPr>
        <w:ind w:left="2977" w:hanging="2977"/>
        <w:rPr>
          <w:b/>
          <w:bCs/>
          <w:sz w:val="24"/>
          <w:szCs w:val="24"/>
        </w:rPr>
      </w:pPr>
      <w:r>
        <w:t>počet atletů celkem:</w:t>
      </w:r>
      <w:r>
        <w:tab/>
      </w:r>
      <w:r w:rsidR="003A70B1" w:rsidRPr="003A70B1">
        <w:rPr>
          <w:b/>
          <w:bCs/>
          <w:sz w:val="24"/>
          <w:szCs w:val="24"/>
        </w:rPr>
        <w:t>1</w:t>
      </w:r>
      <w:r w:rsidR="003B5894">
        <w:rPr>
          <w:b/>
          <w:bCs/>
          <w:sz w:val="24"/>
          <w:szCs w:val="24"/>
        </w:rPr>
        <w:t>4</w:t>
      </w:r>
      <w:r w:rsidR="003A70B1" w:rsidRPr="003A70B1">
        <w:rPr>
          <w:b/>
          <w:bCs/>
          <w:sz w:val="24"/>
          <w:szCs w:val="24"/>
        </w:rPr>
        <w:t>+2</w:t>
      </w:r>
    </w:p>
    <w:tbl>
      <w:tblPr>
        <w:tblW w:w="297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850"/>
      </w:tblGrid>
      <w:tr w:rsidR="00D5396D" w:rsidRPr="000B7CAA" w14:paraId="3949E3CF" w14:textId="77777777" w:rsidTr="0008671E">
        <w:tc>
          <w:tcPr>
            <w:tcW w:w="2127" w:type="dxa"/>
            <w:shd w:val="clear" w:color="auto" w:fill="auto"/>
          </w:tcPr>
          <w:p w14:paraId="65C368B7" w14:textId="77777777" w:rsidR="00D5396D" w:rsidRPr="000B7CAA" w:rsidRDefault="00D5396D" w:rsidP="0008671E">
            <w:pPr>
              <w:pStyle w:val="Odstavecseseznamem"/>
              <w:spacing w:line="240" w:lineRule="auto"/>
              <w:ind w:left="0"/>
            </w:pPr>
            <w:r w:rsidRPr="000B7CAA">
              <w:t>reprezentanti SCM</w:t>
            </w:r>
          </w:p>
        </w:tc>
        <w:tc>
          <w:tcPr>
            <w:tcW w:w="850" w:type="dxa"/>
            <w:shd w:val="clear" w:color="auto" w:fill="auto"/>
          </w:tcPr>
          <w:p w14:paraId="149528C6" w14:textId="6B4C912F" w:rsidR="00D5396D" w:rsidRPr="000B7CAA" w:rsidRDefault="00081E31" w:rsidP="0008671E">
            <w:pPr>
              <w:pStyle w:val="Odstavecseseznamem"/>
              <w:spacing w:line="240" w:lineRule="auto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</w:tr>
      <w:tr w:rsidR="00D5396D" w:rsidRPr="000B7CAA" w14:paraId="2DD0F6E6" w14:textId="77777777" w:rsidTr="0008671E">
        <w:tc>
          <w:tcPr>
            <w:tcW w:w="2127" w:type="dxa"/>
            <w:shd w:val="clear" w:color="auto" w:fill="auto"/>
          </w:tcPr>
          <w:p w14:paraId="62B558A9" w14:textId="77777777" w:rsidR="00D5396D" w:rsidRPr="000B7CAA" w:rsidRDefault="00D5396D" w:rsidP="0008671E">
            <w:pPr>
              <w:pStyle w:val="Odstavecseseznamem"/>
              <w:spacing w:line="240" w:lineRule="auto"/>
              <w:ind w:left="0"/>
            </w:pPr>
            <w:r w:rsidRPr="000B7CAA">
              <w:t xml:space="preserve">atleti SCM </w:t>
            </w:r>
          </w:p>
        </w:tc>
        <w:tc>
          <w:tcPr>
            <w:tcW w:w="850" w:type="dxa"/>
            <w:shd w:val="clear" w:color="auto" w:fill="auto"/>
          </w:tcPr>
          <w:p w14:paraId="62172AC7" w14:textId="5C74D845" w:rsidR="00D5396D" w:rsidRPr="000B7CAA" w:rsidRDefault="00081E31" w:rsidP="0008671E">
            <w:pPr>
              <w:pStyle w:val="Odstavecseseznamem"/>
              <w:spacing w:line="240" w:lineRule="auto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</w:tr>
      <w:tr w:rsidR="00D5396D" w:rsidRPr="000B7CAA" w14:paraId="553319FD" w14:textId="77777777" w:rsidTr="0008671E">
        <w:tc>
          <w:tcPr>
            <w:tcW w:w="2127" w:type="dxa"/>
            <w:shd w:val="clear" w:color="auto" w:fill="auto"/>
          </w:tcPr>
          <w:p w14:paraId="449CB0E4" w14:textId="77777777" w:rsidR="00D5396D" w:rsidRPr="000B7CAA" w:rsidRDefault="00D5396D" w:rsidP="0008671E">
            <w:pPr>
              <w:pStyle w:val="Odstavecseseznamem"/>
              <w:spacing w:line="240" w:lineRule="auto"/>
              <w:ind w:left="0"/>
            </w:pPr>
            <w:r w:rsidRPr="000B7CAA">
              <w:t>samoplátci</w:t>
            </w:r>
          </w:p>
        </w:tc>
        <w:tc>
          <w:tcPr>
            <w:tcW w:w="850" w:type="dxa"/>
            <w:shd w:val="clear" w:color="auto" w:fill="auto"/>
          </w:tcPr>
          <w:p w14:paraId="4A3B04C7" w14:textId="16CDE26A" w:rsidR="00D5396D" w:rsidRPr="000B7CAA" w:rsidRDefault="00D5396D" w:rsidP="0008671E">
            <w:pPr>
              <w:pStyle w:val="Odstavecseseznamem"/>
              <w:spacing w:line="240" w:lineRule="auto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</w:tbl>
    <w:p w14:paraId="2478D4A1" w14:textId="77777777" w:rsidR="00D5396D" w:rsidRDefault="00D5396D" w:rsidP="00D5396D"/>
    <w:p w14:paraId="4A81F689" w14:textId="2BB56936" w:rsidR="00D5396D" w:rsidRDefault="00D5396D" w:rsidP="00D5396D">
      <w:pPr>
        <w:ind w:left="2835" w:hanging="2835"/>
      </w:pPr>
      <w:r>
        <w:t>počet trenérů/doprovodu celkem:</w:t>
      </w:r>
      <w:r>
        <w:tab/>
      </w:r>
      <w:r w:rsidR="003A70B1" w:rsidRPr="003A70B1">
        <w:rPr>
          <w:sz w:val="24"/>
          <w:szCs w:val="24"/>
        </w:rPr>
        <w:t>5</w:t>
      </w:r>
    </w:p>
    <w:tbl>
      <w:tblPr>
        <w:tblW w:w="793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850"/>
        <w:gridCol w:w="1276"/>
        <w:gridCol w:w="850"/>
        <w:gridCol w:w="2127"/>
        <w:gridCol w:w="708"/>
      </w:tblGrid>
      <w:tr w:rsidR="00D5396D" w:rsidRPr="000B7CAA" w14:paraId="3A588DAA" w14:textId="77777777" w:rsidTr="0008671E">
        <w:tc>
          <w:tcPr>
            <w:tcW w:w="2127" w:type="dxa"/>
            <w:shd w:val="clear" w:color="auto" w:fill="auto"/>
          </w:tcPr>
          <w:p w14:paraId="76DBBBA2" w14:textId="77777777" w:rsidR="00D5396D" w:rsidRPr="000B7CAA" w:rsidRDefault="00D5396D" w:rsidP="0008671E">
            <w:pPr>
              <w:pStyle w:val="Odstavecseseznamem"/>
              <w:spacing w:line="240" w:lineRule="auto"/>
              <w:ind w:left="0"/>
            </w:pPr>
            <w:r w:rsidRPr="000B7CAA">
              <w:t>RTM</w:t>
            </w:r>
          </w:p>
        </w:tc>
        <w:tc>
          <w:tcPr>
            <w:tcW w:w="850" w:type="dxa"/>
            <w:shd w:val="clear" w:color="auto" w:fill="auto"/>
          </w:tcPr>
          <w:p w14:paraId="66BA3C32" w14:textId="77777777" w:rsidR="00D5396D" w:rsidRPr="000B7CAA" w:rsidRDefault="00D5396D" w:rsidP="0008671E">
            <w:pPr>
              <w:pStyle w:val="Odstavecseseznamem"/>
              <w:spacing w:line="240" w:lineRule="auto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11A43E3B" w14:textId="77777777" w:rsidR="00D5396D" w:rsidRPr="000B7CAA" w:rsidRDefault="00D5396D" w:rsidP="0008671E">
            <w:pPr>
              <w:pStyle w:val="Odstavecseseznamem"/>
              <w:spacing w:line="240" w:lineRule="auto"/>
              <w:ind w:left="0"/>
            </w:pPr>
            <w:r w:rsidRPr="000B7CAA">
              <w:t>SG</w:t>
            </w:r>
          </w:p>
        </w:tc>
        <w:tc>
          <w:tcPr>
            <w:tcW w:w="850" w:type="dxa"/>
            <w:shd w:val="clear" w:color="auto" w:fill="auto"/>
          </w:tcPr>
          <w:p w14:paraId="64F41EC5" w14:textId="77777777" w:rsidR="00D5396D" w:rsidRPr="000B7CAA" w:rsidRDefault="00D5396D" w:rsidP="0008671E">
            <w:pPr>
              <w:pStyle w:val="Odstavecseseznamem"/>
              <w:spacing w:line="240" w:lineRule="auto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14:paraId="044D5465" w14:textId="77777777" w:rsidR="00D5396D" w:rsidRPr="000B7CAA" w:rsidRDefault="00D5396D" w:rsidP="0008671E">
            <w:pPr>
              <w:pStyle w:val="Odstavecseseznamem"/>
              <w:spacing w:line="240" w:lineRule="auto"/>
              <w:ind w:left="0"/>
              <w:jc w:val="center"/>
              <w:rPr>
                <w:b/>
                <w:bCs/>
              </w:rPr>
            </w:pPr>
            <w:r w:rsidRPr="000B7CAA">
              <w:t>další osobní trenéři</w:t>
            </w:r>
          </w:p>
        </w:tc>
        <w:tc>
          <w:tcPr>
            <w:tcW w:w="708" w:type="dxa"/>
            <w:shd w:val="clear" w:color="auto" w:fill="auto"/>
          </w:tcPr>
          <w:p w14:paraId="25AB5E97" w14:textId="66C4EDA6" w:rsidR="00D5396D" w:rsidRPr="000B7CAA" w:rsidRDefault="00B477F1" w:rsidP="0008671E">
            <w:pPr>
              <w:pStyle w:val="Odstavecseseznamem"/>
              <w:spacing w:line="240" w:lineRule="auto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D5396D" w:rsidRPr="000B7CAA" w14:paraId="64E26EDA" w14:textId="77777777" w:rsidTr="0008671E">
        <w:tc>
          <w:tcPr>
            <w:tcW w:w="2127" w:type="dxa"/>
            <w:shd w:val="clear" w:color="auto" w:fill="auto"/>
          </w:tcPr>
          <w:p w14:paraId="723F7F2F" w14:textId="77777777" w:rsidR="00D5396D" w:rsidRPr="000B7CAA" w:rsidRDefault="00D5396D" w:rsidP="0008671E">
            <w:pPr>
              <w:pStyle w:val="Odstavecseseznamem"/>
              <w:spacing w:line="240" w:lineRule="auto"/>
              <w:ind w:left="0"/>
            </w:pPr>
            <w:r w:rsidRPr="000B7CAA">
              <w:t>VT SCM</w:t>
            </w:r>
          </w:p>
        </w:tc>
        <w:tc>
          <w:tcPr>
            <w:tcW w:w="850" w:type="dxa"/>
            <w:shd w:val="clear" w:color="auto" w:fill="auto"/>
          </w:tcPr>
          <w:p w14:paraId="08FF1268" w14:textId="0B0C361B" w:rsidR="00D5396D" w:rsidRPr="000B7CAA" w:rsidRDefault="00B477F1" w:rsidP="0008671E">
            <w:pPr>
              <w:pStyle w:val="Odstavecseseznamem"/>
              <w:spacing w:line="240" w:lineRule="auto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3C71DBA6" w14:textId="77777777" w:rsidR="00D5396D" w:rsidRPr="000B7CAA" w:rsidRDefault="00D5396D" w:rsidP="0008671E">
            <w:pPr>
              <w:pStyle w:val="Odstavecseseznamem"/>
              <w:spacing w:line="240" w:lineRule="auto"/>
              <w:ind w:left="0"/>
            </w:pPr>
            <w:proofErr w:type="spellStart"/>
            <w:r w:rsidRPr="000B7CAA">
              <w:t>SpS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14:paraId="77044E29" w14:textId="77777777" w:rsidR="00D5396D" w:rsidRPr="000B7CAA" w:rsidRDefault="00D5396D" w:rsidP="0008671E">
            <w:pPr>
              <w:pStyle w:val="Odstavecseseznamem"/>
              <w:spacing w:line="240" w:lineRule="auto"/>
              <w:ind w:left="0"/>
              <w:jc w:val="center"/>
              <w:rPr>
                <w:b/>
                <w:bCs/>
              </w:rPr>
            </w:pPr>
            <w:r w:rsidRPr="000B7CAA">
              <w:rPr>
                <w:b/>
                <w:bCs/>
              </w:rPr>
              <w:t>0</w:t>
            </w:r>
          </w:p>
        </w:tc>
        <w:tc>
          <w:tcPr>
            <w:tcW w:w="2127" w:type="dxa"/>
            <w:shd w:val="clear" w:color="auto" w:fill="auto"/>
          </w:tcPr>
          <w:p w14:paraId="7B377972" w14:textId="77777777" w:rsidR="00D5396D" w:rsidRPr="000B7CAA" w:rsidRDefault="00D5396D" w:rsidP="0008671E">
            <w:pPr>
              <w:pStyle w:val="Odstavecseseznamem"/>
              <w:spacing w:line="240" w:lineRule="auto"/>
              <w:ind w:left="0"/>
            </w:pPr>
            <w:proofErr w:type="spellStart"/>
            <w:r w:rsidRPr="000B7CAA">
              <w:t>Fyzio</w:t>
            </w:r>
            <w:proofErr w:type="spellEnd"/>
          </w:p>
        </w:tc>
        <w:tc>
          <w:tcPr>
            <w:tcW w:w="708" w:type="dxa"/>
            <w:shd w:val="clear" w:color="auto" w:fill="auto"/>
          </w:tcPr>
          <w:p w14:paraId="1A3B02AD" w14:textId="7828020A" w:rsidR="00D5396D" w:rsidRPr="000B7CAA" w:rsidRDefault="00B477F1" w:rsidP="0008671E">
            <w:pPr>
              <w:pStyle w:val="Odstavecseseznamem"/>
              <w:spacing w:line="240" w:lineRule="auto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D5396D" w:rsidRPr="000B7CAA" w14:paraId="491AC097" w14:textId="77777777" w:rsidTr="0008671E">
        <w:tc>
          <w:tcPr>
            <w:tcW w:w="2127" w:type="dxa"/>
            <w:shd w:val="clear" w:color="auto" w:fill="auto"/>
          </w:tcPr>
          <w:p w14:paraId="5DC39063" w14:textId="77777777" w:rsidR="00D5396D" w:rsidRPr="000B7CAA" w:rsidRDefault="00D5396D" w:rsidP="0008671E">
            <w:pPr>
              <w:pStyle w:val="Odstavecseseznamem"/>
              <w:spacing w:line="240" w:lineRule="auto"/>
              <w:ind w:left="0"/>
            </w:pPr>
            <w:r w:rsidRPr="000B7CAA">
              <w:t>RSC</w:t>
            </w:r>
          </w:p>
        </w:tc>
        <w:tc>
          <w:tcPr>
            <w:tcW w:w="850" w:type="dxa"/>
            <w:shd w:val="clear" w:color="auto" w:fill="auto"/>
          </w:tcPr>
          <w:p w14:paraId="32871516" w14:textId="77777777" w:rsidR="00D5396D" w:rsidRPr="000B7CAA" w:rsidRDefault="00D5396D" w:rsidP="0008671E">
            <w:pPr>
              <w:pStyle w:val="Odstavecseseznamem"/>
              <w:spacing w:line="240" w:lineRule="auto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0340AEC9" w14:textId="77777777" w:rsidR="00D5396D" w:rsidRPr="000B7CAA" w:rsidRDefault="00D5396D" w:rsidP="0008671E">
            <w:pPr>
              <w:pStyle w:val="Odstavecseseznamem"/>
              <w:spacing w:line="240" w:lineRule="auto"/>
              <w:ind w:left="0"/>
            </w:pPr>
            <w:r w:rsidRPr="000B7CAA">
              <w:t>T SCM</w:t>
            </w:r>
          </w:p>
        </w:tc>
        <w:tc>
          <w:tcPr>
            <w:tcW w:w="850" w:type="dxa"/>
            <w:shd w:val="clear" w:color="auto" w:fill="auto"/>
          </w:tcPr>
          <w:p w14:paraId="637DF490" w14:textId="77777777" w:rsidR="00D5396D" w:rsidRPr="000B7CAA" w:rsidRDefault="00D5396D" w:rsidP="0008671E">
            <w:pPr>
              <w:pStyle w:val="Odstavecseseznamem"/>
              <w:spacing w:line="240" w:lineRule="auto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27" w:type="dxa"/>
            <w:shd w:val="clear" w:color="auto" w:fill="auto"/>
          </w:tcPr>
          <w:p w14:paraId="721C2435" w14:textId="77777777" w:rsidR="00D5396D" w:rsidRPr="000B7CAA" w:rsidRDefault="00D5396D" w:rsidP="0008671E">
            <w:pPr>
              <w:pStyle w:val="Odstavecseseznamem"/>
              <w:spacing w:line="240" w:lineRule="auto"/>
              <w:ind w:left="0"/>
              <w:rPr>
                <w:b/>
                <w:bCs/>
              </w:rPr>
            </w:pPr>
            <w:r w:rsidRPr="000B7CAA">
              <w:t>Lékař</w:t>
            </w:r>
          </w:p>
        </w:tc>
        <w:tc>
          <w:tcPr>
            <w:tcW w:w="708" w:type="dxa"/>
            <w:shd w:val="clear" w:color="auto" w:fill="auto"/>
          </w:tcPr>
          <w:p w14:paraId="3CA60BAD" w14:textId="77777777" w:rsidR="00D5396D" w:rsidRPr="000B7CAA" w:rsidRDefault="00D5396D" w:rsidP="0008671E">
            <w:pPr>
              <w:pStyle w:val="Odstavecseseznamem"/>
              <w:spacing w:line="240" w:lineRule="auto"/>
              <w:ind w:left="0"/>
              <w:jc w:val="center"/>
              <w:rPr>
                <w:b/>
                <w:bCs/>
              </w:rPr>
            </w:pPr>
            <w:r w:rsidRPr="000B7CAA">
              <w:rPr>
                <w:b/>
                <w:bCs/>
              </w:rPr>
              <w:t>0</w:t>
            </w:r>
          </w:p>
        </w:tc>
      </w:tr>
    </w:tbl>
    <w:p w14:paraId="225B4B68" w14:textId="77777777" w:rsidR="00D5396D" w:rsidRDefault="00D5396D" w:rsidP="00D5396D">
      <w:pPr>
        <w:pStyle w:val="Odstavecseseznamem"/>
      </w:pPr>
    </w:p>
    <w:p w14:paraId="23689380" w14:textId="77777777" w:rsidR="00D5396D" w:rsidRDefault="00D5396D" w:rsidP="00D5396D">
      <w:r>
        <w:t>Výcvikový tábor byl kompletně hrazen pro reprezentanty SCM, atlety SCM a doprovod, ostatní účastníci jeli jako samoplátci. Viz vyúčtování.</w:t>
      </w:r>
    </w:p>
    <w:p w14:paraId="7DEF4A3F" w14:textId="77777777" w:rsidR="00D5396D" w:rsidRDefault="00D5396D" w:rsidP="00D5396D">
      <w:pPr>
        <w:pStyle w:val="Nadpis1"/>
        <w:rPr>
          <w:sz w:val="32"/>
          <w:szCs w:val="32"/>
        </w:rPr>
      </w:pPr>
      <w:r w:rsidRPr="00DF66FA">
        <w:rPr>
          <w:sz w:val="32"/>
          <w:szCs w:val="32"/>
        </w:rPr>
        <w:t>Zaměření výcvikového tábora</w:t>
      </w:r>
    </w:p>
    <w:p w14:paraId="40A8E082" w14:textId="77777777" w:rsidR="00713848" w:rsidRPr="00713848" w:rsidRDefault="00713848" w:rsidP="00713848"/>
    <w:p w14:paraId="3737DE2F" w14:textId="5F030E8A" w:rsidR="00D5396D" w:rsidRPr="00D835CE" w:rsidRDefault="00D5396D" w:rsidP="00D5396D">
      <w:pPr>
        <w:spacing w:line="278" w:lineRule="auto"/>
        <w:rPr>
          <w:b/>
          <w:bCs/>
        </w:rPr>
      </w:pPr>
      <w:r w:rsidRPr="0065704F">
        <w:rPr>
          <w:b/>
          <w:bCs/>
        </w:rPr>
        <w:t xml:space="preserve">Na výcvikovém táboře ve </w:t>
      </w:r>
      <w:r w:rsidR="00B477F1">
        <w:rPr>
          <w:b/>
          <w:bCs/>
        </w:rPr>
        <w:t>Nymburce</w:t>
      </w:r>
      <w:r w:rsidRPr="0065704F">
        <w:rPr>
          <w:b/>
          <w:bCs/>
        </w:rPr>
        <w:t xml:space="preserve"> </w:t>
      </w:r>
      <w:r w:rsidR="00B477F1">
        <w:rPr>
          <w:b/>
          <w:bCs/>
        </w:rPr>
        <w:t>6.2.-9.2.</w:t>
      </w:r>
      <w:r w:rsidRPr="00D835CE">
        <w:rPr>
          <w:b/>
          <w:bCs/>
        </w:rPr>
        <w:t xml:space="preserve">2025 </w:t>
      </w:r>
      <w:r w:rsidRPr="0065704F">
        <w:rPr>
          <w:b/>
          <w:bCs/>
        </w:rPr>
        <w:t>bylo pozváno celkem 14 oštěpařů</w:t>
      </w:r>
      <w:r w:rsidRPr="00D835CE">
        <w:rPr>
          <w:b/>
          <w:bCs/>
        </w:rPr>
        <w:t xml:space="preserve"> a 5 trenérů.</w:t>
      </w:r>
    </w:p>
    <w:p w14:paraId="117162A3" w14:textId="570DAB6C" w:rsidR="00D5396D" w:rsidRPr="00081E31" w:rsidRDefault="00D5396D" w:rsidP="00D5396D">
      <w:pPr>
        <w:spacing w:line="278" w:lineRule="auto"/>
        <w:rPr>
          <w:b/>
          <w:bCs/>
        </w:rPr>
      </w:pPr>
      <w:r w:rsidRPr="00D835CE">
        <w:rPr>
          <w:b/>
          <w:bCs/>
        </w:rPr>
        <w:t xml:space="preserve">Hlavní zaměření: </w:t>
      </w:r>
      <w:r w:rsidR="00081E31" w:rsidRPr="00081E31">
        <w:rPr>
          <w:rFonts w:cs="Calibri"/>
          <w:b/>
          <w:bCs/>
          <w:iCs/>
        </w:rPr>
        <w:t>Rozvoj techniky dané disciplíny, silových a odrazových schopností</w:t>
      </w:r>
    </w:p>
    <w:p w14:paraId="78AE3301" w14:textId="7795DE5B" w:rsidR="00D5396D" w:rsidRDefault="00D5396D" w:rsidP="00D5396D">
      <w:pPr>
        <w:spacing w:line="278" w:lineRule="auto"/>
        <w:rPr>
          <w:b/>
          <w:bCs/>
        </w:rPr>
      </w:pPr>
      <w:r w:rsidRPr="00D835CE">
        <w:rPr>
          <w:b/>
          <w:bCs/>
        </w:rPr>
        <w:t>Hodnocení přípravy na konci přípravného období. Průprava oštěpařských dovedností a techniky pohybu odhodu</w:t>
      </w:r>
      <w:r w:rsidR="0023596A" w:rsidRPr="00D835CE">
        <w:rPr>
          <w:b/>
          <w:bCs/>
        </w:rPr>
        <w:t>.</w:t>
      </w:r>
      <w:r w:rsidRPr="00D835CE">
        <w:rPr>
          <w:b/>
          <w:bCs/>
        </w:rPr>
        <w:t xml:space="preserve"> Fyzioterapie. </w:t>
      </w:r>
    </w:p>
    <w:p w14:paraId="515E4CCB" w14:textId="77777777" w:rsidR="00713848" w:rsidRDefault="00713848" w:rsidP="00D5396D">
      <w:pPr>
        <w:spacing w:line="278" w:lineRule="auto"/>
        <w:rPr>
          <w:b/>
          <w:bCs/>
        </w:rPr>
      </w:pPr>
    </w:p>
    <w:p w14:paraId="1BF700E4" w14:textId="77777777" w:rsidR="00713848" w:rsidRDefault="00713848" w:rsidP="00D5396D">
      <w:pPr>
        <w:spacing w:line="278" w:lineRule="auto"/>
        <w:rPr>
          <w:b/>
          <w:bCs/>
        </w:rPr>
      </w:pPr>
    </w:p>
    <w:p w14:paraId="5CDB8416" w14:textId="29B4E662" w:rsidR="00081E31" w:rsidRPr="00D835CE" w:rsidRDefault="00081E31" w:rsidP="00D5396D">
      <w:pPr>
        <w:spacing w:line="278" w:lineRule="auto"/>
        <w:rPr>
          <w:b/>
          <w:bCs/>
        </w:rPr>
      </w:pPr>
      <w:r>
        <w:rPr>
          <w:b/>
          <w:bCs/>
        </w:rPr>
        <w:t>V rámci druhého V</w:t>
      </w:r>
      <w:r w:rsidR="000F0AAE">
        <w:rPr>
          <w:b/>
          <w:bCs/>
        </w:rPr>
        <w:t>T</w:t>
      </w:r>
      <w:r>
        <w:rPr>
          <w:b/>
          <w:bCs/>
        </w:rPr>
        <w:t xml:space="preserve"> naší sekce proběhla různá měření a </w:t>
      </w:r>
      <w:proofErr w:type="spellStart"/>
      <w:r w:rsidR="000F0AAE">
        <w:rPr>
          <w:rFonts w:asciiTheme="minorHAnsi" w:hAnsiTheme="minorHAnsi" w:cstheme="minorHAnsi"/>
          <w:b/>
          <w:bCs/>
        </w:rPr>
        <w:t>d</w:t>
      </w:r>
      <w:r w:rsidR="000F0AAE" w:rsidRPr="000F0AAE">
        <w:rPr>
          <w:rFonts w:asciiTheme="minorHAnsi" w:hAnsiTheme="minorHAnsi" w:cstheme="minorHAnsi"/>
          <w:b/>
          <w:bCs/>
        </w:rPr>
        <w:t>ietologická</w:t>
      </w:r>
      <w:proofErr w:type="spellEnd"/>
      <w:r w:rsidR="000F0AAE" w:rsidRPr="000F0AAE">
        <w:rPr>
          <w:rFonts w:asciiTheme="minorHAnsi" w:hAnsiTheme="minorHAnsi" w:cstheme="minorHAnsi"/>
          <w:b/>
          <w:bCs/>
        </w:rPr>
        <w:t xml:space="preserve"> přednáška</w:t>
      </w:r>
      <w:r>
        <w:rPr>
          <w:b/>
          <w:bCs/>
        </w:rPr>
        <w:t xml:space="preserve"> </w:t>
      </w:r>
      <w:r w:rsidR="000F0AAE">
        <w:rPr>
          <w:b/>
          <w:bCs/>
        </w:rPr>
        <w:t xml:space="preserve">pod </w:t>
      </w:r>
      <w:r>
        <w:rPr>
          <w:b/>
          <w:bCs/>
        </w:rPr>
        <w:t>záštitou fa. CASRI</w:t>
      </w:r>
    </w:p>
    <w:p w14:paraId="3C9C1C99" w14:textId="77777777" w:rsidR="0023596A" w:rsidRPr="0023596A" w:rsidRDefault="0023596A" w:rsidP="00D5396D">
      <w:pPr>
        <w:spacing w:line="278" w:lineRule="auto"/>
      </w:pPr>
    </w:p>
    <w:p w14:paraId="0F9F3E9F" w14:textId="77777777" w:rsidR="00081E31" w:rsidRPr="00081E31" w:rsidRDefault="00081E31" w:rsidP="00081E31">
      <w:pPr>
        <w:numPr>
          <w:ilvl w:val="0"/>
          <w:numId w:val="1"/>
        </w:numPr>
        <w:spacing w:line="278" w:lineRule="auto"/>
        <w:rPr>
          <w:rFonts w:asciiTheme="minorHAnsi" w:hAnsiTheme="minorHAnsi" w:cstheme="minorHAnsi"/>
        </w:rPr>
      </w:pPr>
      <w:r w:rsidRPr="00081E31">
        <w:rPr>
          <w:rFonts w:asciiTheme="minorHAnsi" w:hAnsiTheme="minorHAnsi" w:cstheme="minorHAnsi"/>
          <w:b/>
          <w:bCs/>
        </w:rPr>
        <w:t>Analýza složení těla</w:t>
      </w:r>
      <w:r w:rsidRPr="00081E31">
        <w:rPr>
          <w:rFonts w:asciiTheme="minorHAnsi" w:hAnsiTheme="minorHAnsi" w:cstheme="minorHAnsi"/>
        </w:rPr>
        <w:t xml:space="preserve"> – vážení na </w:t>
      </w:r>
      <w:proofErr w:type="spellStart"/>
      <w:r w:rsidRPr="00081E31">
        <w:rPr>
          <w:rFonts w:asciiTheme="minorHAnsi" w:hAnsiTheme="minorHAnsi" w:cstheme="minorHAnsi"/>
        </w:rPr>
        <w:t>bioimpedanční</w:t>
      </w:r>
      <w:proofErr w:type="spellEnd"/>
      <w:r w:rsidRPr="00081E31">
        <w:rPr>
          <w:rFonts w:asciiTheme="minorHAnsi" w:hAnsiTheme="minorHAnsi" w:cstheme="minorHAnsi"/>
        </w:rPr>
        <w:t xml:space="preserve"> váze </w:t>
      </w:r>
      <w:proofErr w:type="spellStart"/>
      <w:r w:rsidRPr="00081E31">
        <w:rPr>
          <w:rFonts w:asciiTheme="minorHAnsi" w:hAnsiTheme="minorHAnsi" w:cstheme="minorHAnsi"/>
        </w:rPr>
        <w:t>Tanita</w:t>
      </w:r>
      <w:proofErr w:type="spellEnd"/>
      <w:r w:rsidRPr="00081E31">
        <w:rPr>
          <w:rFonts w:asciiTheme="minorHAnsi" w:hAnsiTheme="minorHAnsi" w:cstheme="minorHAnsi"/>
        </w:rPr>
        <w:t xml:space="preserve"> M780 ukazuje zejména podíl svalové a tukové hmoty, podíl útrobního tuku a rozložení svalové hmoty</w:t>
      </w:r>
    </w:p>
    <w:p w14:paraId="6B321D7F" w14:textId="77777777" w:rsidR="00081E31" w:rsidRPr="00081E31" w:rsidRDefault="00081E31" w:rsidP="00081E31">
      <w:pPr>
        <w:numPr>
          <w:ilvl w:val="0"/>
          <w:numId w:val="1"/>
        </w:numPr>
        <w:spacing w:line="278" w:lineRule="auto"/>
        <w:rPr>
          <w:rFonts w:asciiTheme="minorHAnsi" w:hAnsiTheme="minorHAnsi" w:cstheme="minorHAnsi"/>
        </w:rPr>
      </w:pPr>
      <w:r w:rsidRPr="00081E31">
        <w:rPr>
          <w:rFonts w:asciiTheme="minorHAnsi" w:hAnsiTheme="minorHAnsi" w:cstheme="minorHAnsi"/>
          <w:b/>
          <w:bCs/>
        </w:rPr>
        <w:t>Biochemická analýza kapilární krve</w:t>
      </w:r>
      <w:r w:rsidRPr="00081E31">
        <w:rPr>
          <w:rFonts w:asciiTheme="minorHAnsi" w:hAnsiTheme="minorHAnsi" w:cstheme="minorHAnsi"/>
        </w:rPr>
        <w:t xml:space="preserve"> – rychlá analýza základních parametrů – CK, ALT a AST, které u sportovců ukazují na svalová </w:t>
      </w:r>
      <w:proofErr w:type="spellStart"/>
      <w:r w:rsidRPr="00081E31">
        <w:rPr>
          <w:rFonts w:asciiTheme="minorHAnsi" w:hAnsiTheme="minorHAnsi" w:cstheme="minorHAnsi"/>
        </w:rPr>
        <w:t>mikrotraumata</w:t>
      </w:r>
      <w:proofErr w:type="spellEnd"/>
      <w:r w:rsidRPr="00081E31">
        <w:rPr>
          <w:rFonts w:asciiTheme="minorHAnsi" w:hAnsiTheme="minorHAnsi" w:cstheme="minorHAnsi"/>
        </w:rPr>
        <w:t>, dále parametry spojené s hodnocením výživy (urea, Alb, celková bílkovina, kreatinin).</w:t>
      </w:r>
    </w:p>
    <w:p w14:paraId="7CA272C4" w14:textId="5469DF52" w:rsidR="00081E31" w:rsidRPr="00081E31" w:rsidRDefault="00081E31" w:rsidP="00081E31">
      <w:pPr>
        <w:numPr>
          <w:ilvl w:val="0"/>
          <w:numId w:val="1"/>
        </w:numPr>
        <w:spacing w:line="278" w:lineRule="auto"/>
        <w:rPr>
          <w:rFonts w:asciiTheme="minorHAnsi" w:hAnsiTheme="minorHAnsi" w:cstheme="minorHAnsi"/>
        </w:rPr>
      </w:pPr>
      <w:r w:rsidRPr="00081E31">
        <w:rPr>
          <w:rFonts w:asciiTheme="minorHAnsi" w:hAnsiTheme="minorHAnsi" w:cstheme="minorHAnsi"/>
          <w:b/>
          <w:bCs/>
        </w:rPr>
        <w:t>Odhody oštěpu (600 g)</w:t>
      </w:r>
      <w:r w:rsidR="000F0AAE" w:rsidRPr="000F0AAE">
        <w:rPr>
          <w:rFonts w:asciiTheme="minorHAnsi" w:hAnsiTheme="minorHAnsi" w:cstheme="minorHAnsi"/>
          <w:b/>
          <w:bCs/>
        </w:rPr>
        <w:t xml:space="preserve"> s </w:t>
      </w:r>
      <w:proofErr w:type="gramStart"/>
      <w:r w:rsidR="000F0AAE" w:rsidRPr="000F0AAE">
        <w:rPr>
          <w:rFonts w:asciiTheme="minorHAnsi" w:hAnsiTheme="minorHAnsi" w:cstheme="minorHAnsi"/>
          <w:b/>
          <w:bCs/>
        </w:rPr>
        <w:t>akcelerometrem</w:t>
      </w:r>
      <w:r w:rsidRPr="00081E31">
        <w:rPr>
          <w:rFonts w:asciiTheme="minorHAnsi" w:hAnsiTheme="minorHAnsi" w:cstheme="minorHAnsi"/>
          <w:b/>
          <w:bCs/>
        </w:rPr>
        <w:t xml:space="preserve"> </w:t>
      </w:r>
      <w:r w:rsidRPr="00081E31">
        <w:rPr>
          <w:rFonts w:asciiTheme="minorHAnsi" w:hAnsiTheme="minorHAnsi" w:cstheme="minorHAnsi"/>
        </w:rPr>
        <w:t> -</w:t>
      </w:r>
      <w:proofErr w:type="gramEnd"/>
      <w:r w:rsidRPr="00081E31">
        <w:rPr>
          <w:rFonts w:asciiTheme="minorHAnsi" w:hAnsiTheme="minorHAnsi" w:cstheme="minorHAnsi"/>
        </w:rPr>
        <w:t>  testování nového senzoru pro sledování zrychlení oštěpu při rozběhu, úhlu odhodu, zrychlení v okamžiku odhodu. Prosíme zde o trpělivost, senzor je ve fázi pilotního testování. Výsledky budou dodány dodatečně po zpracování.</w:t>
      </w:r>
    </w:p>
    <w:p w14:paraId="7F19BD1D" w14:textId="77777777" w:rsidR="00081E31" w:rsidRDefault="00081E31" w:rsidP="00081E31">
      <w:pPr>
        <w:numPr>
          <w:ilvl w:val="0"/>
          <w:numId w:val="1"/>
        </w:numPr>
        <w:spacing w:line="278" w:lineRule="auto"/>
        <w:rPr>
          <w:rFonts w:asciiTheme="minorHAnsi" w:hAnsiTheme="minorHAnsi" w:cstheme="minorHAnsi"/>
        </w:rPr>
      </w:pPr>
      <w:r w:rsidRPr="00081E31">
        <w:rPr>
          <w:rFonts w:asciiTheme="minorHAnsi" w:hAnsiTheme="minorHAnsi" w:cstheme="minorHAnsi"/>
          <w:b/>
          <w:bCs/>
        </w:rPr>
        <w:t xml:space="preserve">Měření tlaku do nohou během rozběhu v </w:t>
      </w:r>
      <w:proofErr w:type="gramStart"/>
      <w:r w:rsidRPr="00081E31">
        <w:rPr>
          <w:rFonts w:asciiTheme="minorHAnsi" w:hAnsiTheme="minorHAnsi" w:cstheme="minorHAnsi"/>
          <w:b/>
          <w:bCs/>
        </w:rPr>
        <w:t>hale</w:t>
      </w:r>
      <w:r w:rsidRPr="00081E31">
        <w:rPr>
          <w:rFonts w:asciiTheme="minorHAnsi" w:hAnsiTheme="minorHAnsi" w:cstheme="minorHAnsi"/>
        </w:rPr>
        <w:t> - Tlakoměrné</w:t>
      </w:r>
      <w:proofErr w:type="gramEnd"/>
      <w:r w:rsidRPr="00081E31">
        <w:rPr>
          <w:rFonts w:asciiTheme="minorHAnsi" w:hAnsiTheme="minorHAnsi" w:cstheme="minorHAnsi"/>
        </w:rPr>
        <w:t xml:space="preserve"> stélky NOVEL umožňují detailní analýzu rozložení tlaku a síly působící na chodidla během pohybu. Do bot jsou vloženy tlakoměrné stélky, na obvod pasu je připojeno měřící zařízení.</w:t>
      </w:r>
    </w:p>
    <w:p w14:paraId="3C043277" w14:textId="2CE7AF9C" w:rsidR="00081E31" w:rsidRPr="00081E31" w:rsidRDefault="00081E31" w:rsidP="00081E31">
      <w:pPr>
        <w:numPr>
          <w:ilvl w:val="0"/>
          <w:numId w:val="1"/>
        </w:numPr>
        <w:spacing w:line="278" w:lineRule="auto"/>
        <w:rPr>
          <w:rFonts w:asciiTheme="minorHAnsi" w:hAnsiTheme="minorHAnsi" w:cstheme="minorHAnsi"/>
        </w:rPr>
      </w:pPr>
      <w:proofErr w:type="spellStart"/>
      <w:r w:rsidRPr="000F0AAE">
        <w:rPr>
          <w:rFonts w:asciiTheme="minorHAnsi" w:hAnsiTheme="minorHAnsi" w:cstheme="minorHAnsi"/>
          <w:b/>
          <w:bCs/>
        </w:rPr>
        <w:t>Dietologická</w:t>
      </w:r>
      <w:proofErr w:type="spellEnd"/>
      <w:r w:rsidRPr="000F0AAE">
        <w:rPr>
          <w:rFonts w:asciiTheme="minorHAnsi" w:hAnsiTheme="minorHAnsi" w:cstheme="minorHAnsi"/>
          <w:b/>
          <w:bCs/>
        </w:rPr>
        <w:t xml:space="preserve"> přednáška</w:t>
      </w:r>
      <w:r w:rsidRPr="00081E31">
        <w:rPr>
          <w:rFonts w:asciiTheme="minorHAnsi" w:hAnsiTheme="minorHAnsi" w:cstheme="minorHAnsi"/>
        </w:rPr>
        <w:t xml:space="preserve"> – zásady správné sportovní výživy (Ing. Hana </w:t>
      </w:r>
      <w:proofErr w:type="spellStart"/>
      <w:r w:rsidRPr="00081E31">
        <w:rPr>
          <w:rFonts w:asciiTheme="minorHAnsi" w:hAnsiTheme="minorHAnsi" w:cstheme="minorHAnsi"/>
        </w:rPr>
        <w:t>Střítecká</w:t>
      </w:r>
      <w:proofErr w:type="spellEnd"/>
      <w:r w:rsidRPr="00081E31">
        <w:rPr>
          <w:rFonts w:asciiTheme="minorHAnsi" w:hAnsiTheme="minorHAnsi" w:cstheme="minorHAnsi"/>
        </w:rPr>
        <w:t xml:space="preserve">, </w:t>
      </w:r>
      <w:proofErr w:type="spellStart"/>
      <w:r w:rsidRPr="00081E31">
        <w:rPr>
          <w:rFonts w:asciiTheme="minorHAnsi" w:hAnsiTheme="minorHAnsi" w:cstheme="minorHAnsi"/>
        </w:rPr>
        <w:t>DiS</w:t>
      </w:r>
      <w:proofErr w:type="spellEnd"/>
      <w:r w:rsidRPr="00081E31">
        <w:rPr>
          <w:rFonts w:asciiTheme="minorHAnsi" w:hAnsiTheme="minorHAnsi" w:cstheme="minorHAnsi"/>
        </w:rPr>
        <w:t>. Ph.D.) – pro všechny</w:t>
      </w:r>
    </w:p>
    <w:p w14:paraId="34247612" w14:textId="77777777" w:rsidR="000F0AAE" w:rsidRDefault="000F0AAE" w:rsidP="00D5396D">
      <w:pPr>
        <w:spacing w:line="278" w:lineRule="auto"/>
        <w:rPr>
          <w:rFonts w:asciiTheme="minorHAnsi" w:hAnsiTheme="minorHAnsi" w:cstheme="minorHAnsi"/>
        </w:rPr>
      </w:pPr>
    </w:p>
    <w:p w14:paraId="5F61EEAB" w14:textId="1DE1689A" w:rsidR="00117E2C" w:rsidRPr="00117E2C" w:rsidRDefault="00117E2C" w:rsidP="00117E2C">
      <w:pPr>
        <w:spacing w:line="278" w:lineRule="auto"/>
        <w:rPr>
          <w:rFonts w:asciiTheme="minorHAnsi" w:hAnsiTheme="minorHAnsi" w:cstheme="minorHAnsi"/>
        </w:rPr>
      </w:pPr>
      <w:r w:rsidRPr="00117E2C">
        <w:rPr>
          <w:rFonts w:asciiTheme="minorHAnsi" w:hAnsiTheme="minorHAnsi" w:cstheme="minorHAnsi"/>
        </w:rPr>
        <w:t xml:space="preserve">První den kempu začal společnou poradou všech účastníků, na které byl představen podrobný program VT. Během porady byli atleti dotazováni na průběh jejich přípravy a na to, do jaké míry se jim daří zapojovat alespoň částečně procesy z předneseného RTC. Důležitým bodem porady byla také konzultace ohledně přechodu do RSC a VSCM, což jsou pravděpodobně další fáze </w:t>
      </w:r>
      <w:r>
        <w:rPr>
          <w:rFonts w:asciiTheme="minorHAnsi" w:hAnsiTheme="minorHAnsi" w:cstheme="minorHAnsi"/>
        </w:rPr>
        <w:t>karierního</w:t>
      </w:r>
      <w:r w:rsidRPr="00117E2C">
        <w:rPr>
          <w:rFonts w:asciiTheme="minorHAnsi" w:hAnsiTheme="minorHAnsi" w:cstheme="minorHAnsi"/>
        </w:rPr>
        <w:t xml:space="preserve"> postupu. Trenéři hodnotili přípravu atletů pozitivně, což naznačovalo, že jsou na dobré cestě k dosažení svých cílů.</w:t>
      </w:r>
    </w:p>
    <w:p w14:paraId="4B0DEEC3" w14:textId="77777777" w:rsidR="00117E2C" w:rsidRDefault="00117E2C" w:rsidP="00117E2C">
      <w:pPr>
        <w:spacing w:line="278" w:lineRule="auto"/>
        <w:rPr>
          <w:rFonts w:asciiTheme="minorHAnsi" w:hAnsiTheme="minorHAnsi" w:cstheme="minorHAnsi"/>
        </w:rPr>
      </w:pPr>
      <w:r w:rsidRPr="00117E2C">
        <w:rPr>
          <w:rFonts w:asciiTheme="minorHAnsi" w:hAnsiTheme="minorHAnsi" w:cstheme="minorHAnsi"/>
        </w:rPr>
        <w:t xml:space="preserve">Od pátku se kemp zaměřil na praktickou část technické přípravy, která zahrnovala technické házení a průpravná cvičení pro zdokonalení odhodu. U vybraných atletů probíhala měření společností CASRI, která přinesla cenná data pro další analýzu a optimalizaci tréninkového procesu. Součástí programu byla také pravidelná </w:t>
      </w:r>
      <w:proofErr w:type="spellStart"/>
      <w:r w:rsidRPr="00117E2C">
        <w:rPr>
          <w:rFonts w:asciiTheme="minorHAnsi" w:hAnsiTheme="minorHAnsi" w:cstheme="minorHAnsi"/>
        </w:rPr>
        <w:t>fyzio</w:t>
      </w:r>
      <w:proofErr w:type="spellEnd"/>
      <w:r w:rsidRPr="00117E2C">
        <w:rPr>
          <w:rFonts w:asciiTheme="minorHAnsi" w:hAnsiTheme="minorHAnsi" w:cstheme="minorHAnsi"/>
        </w:rPr>
        <w:t xml:space="preserve"> diagnostika, kterou zajišťovala Martina </w:t>
      </w:r>
      <w:proofErr w:type="spellStart"/>
      <w:r w:rsidRPr="00117E2C">
        <w:rPr>
          <w:rFonts w:asciiTheme="minorHAnsi" w:hAnsiTheme="minorHAnsi" w:cstheme="minorHAnsi"/>
        </w:rPr>
        <w:t>Končalová</w:t>
      </w:r>
      <w:proofErr w:type="spellEnd"/>
      <w:r w:rsidRPr="00117E2C">
        <w:rPr>
          <w:rFonts w:asciiTheme="minorHAnsi" w:hAnsiTheme="minorHAnsi" w:cstheme="minorHAnsi"/>
        </w:rPr>
        <w:t xml:space="preserve"> spolu se svým týmem z MFK. Tato diagnostika proběhla dvakrát během kempu a měla za cíl monitorovat fyzický stav atletů, identifikovat případné nedostatky a předcházet zraněním.</w:t>
      </w:r>
    </w:p>
    <w:p w14:paraId="34A62C3D" w14:textId="726ACF53" w:rsidR="008945E2" w:rsidRPr="008945E2" w:rsidRDefault="008945E2" w:rsidP="008945E2">
      <w:pPr>
        <w:spacing w:line="278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</w:t>
      </w:r>
      <w:r w:rsidRPr="008945E2">
        <w:rPr>
          <w:rFonts w:asciiTheme="minorHAnsi" w:hAnsiTheme="minorHAnsi" w:cstheme="minorHAnsi"/>
        </w:rPr>
        <w:t xml:space="preserve">egenerace byla nedílnou součástí programu, přičemž atleti měli možnost využít saunu, bazén a vířivku. Tyto aktivity významně přispěly k uvolnění svalů, zlepšení krevního oběhu a celkovému zotavení po náročných trénincích. Kemp byl primárně zaměřen na zdokonalování oštěpařských dovedností, přičemž házení bylo zařazeno dvakrát během </w:t>
      </w:r>
      <w:r>
        <w:rPr>
          <w:rFonts w:asciiTheme="minorHAnsi" w:hAnsiTheme="minorHAnsi" w:cstheme="minorHAnsi"/>
        </w:rPr>
        <w:t>VT</w:t>
      </w:r>
      <w:r w:rsidRPr="008945E2">
        <w:rPr>
          <w:rFonts w:asciiTheme="minorHAnsi" w:hAnsiTheme="minorHAnsi" w:cstheme="minorHAnsi"/>
        </w:rPr>
        <w:t>. Cílem bylo nejen zlepšit techniku odhodu, ale také posílit fyzickou kondici a připravit atlety na nadcházející</w:t>
      </w:r>
      <w:r>
        <w:rPr>
          <w:rFonts w:asciiTheme="minorHAnsi" w:hAnsiTheme="minorHAnsi" w:cstheme="minorHAnsi"/>
        </w:rPr>
        <w:t xml:space="preserve"> tréninkové</w:t>
      </w:r>
      <w:r w:rsidRPr="008945E2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období</w:t>
      </w:r>
      <w:r w:rsidRPr="008945E2">
        <w:rPr>
          <w:rFonts w:asciiTheme="minorHAnsi" w:hAnsiTheme="minorHAnsi" w:cstheme="minorHAnsi"/>
        </w:rPr>
        <w:t>.</w:t>
      </w:r>
    </w:p>
    <w:p w14:paraId="65FBF846" w14:textId="16E8F3A1" w:rsidR="008945E2" w:rsidRPr="008945E2" w:rsidRDefault="008945E2" w:rsidP="008945E2">
      <w:pPr>
        <w:spacing w:line="278" w:lineRule="auto"/>
        <w:rPr>
          <w:rFonts w:asciiTheme="minorHAnsi" w:hAnsiTheme="minorHAnsi" w:cstheme="minorHAnsi"/>
        </w:rPr>
      </w:pPr>
      <w:r w:rsidRPr="008945E2">
        <w:rPr>
          <w:rFonts w:asciiTheme="minorHAnsi" w:hAnsiTheme="minorHAnsi" w:cstheme="minorHAnsi"/>
        </w:rPr>
        <w:t xml:space="preserve">Kromě tréninkové a regenerační části byla součástí kempu také </w:t>
      </w:r>
      <w:proofErr w:type="spellStart"/>
      <w:r w:rsidRPr="008945E2">
        <w:rPr>
          <w:rFonts w:asciiTheme="minorHAnsi" w:hAnsiTheme="minorHAnsi" w:cstheme="minorHAnsi"/>
        </w:rPr>
        <w:t>dietologická</w:t>
      </w:r>
      <w:proofErr w:type="spellEnd"/>
      <w:r w:rsidRPr="008945E2">
        <w:rPr>
          <w:rFonts w:asciiTheme="minorHAnsi" w:hAnsiTheme="minorHAnsi" w:cstheme="minorHAnsi"/>
        </w:rPr>
        <w:t xml:space="preserve"> přednáška, která atletům poskytla důležité informace o správné výživě a jejím vlivu na výkonnost a regeneraci. Celkově se jednalo o velmi </w:t>
      </w:r>
      <w:r w:rsidRPr="008945E2">
        <w:rPr>
          <w:rFonts w:asciiTheme="minorHAnsi" w:hAnsiTheme="minorHAnsi" w:cstheme="minorHAnsi"/>
        </w:rPr>
        <w:lastRenderedPageBreak/>
        <w:t xml:space="preserve">komplexní a dobře strukturovaný kemp, který kombinoval technický trénink, fyzickou diagnostiku, regeneraci a </w:t>
      </w:r>
      <w:proofErr w:type="spellStart"/>
      <w:r>
        <w:rPr>
          <w:rFonts w:asciiTheme="minorHAnsi" w:hAnsiTheme="minorHAnsi" w:cstheme="minorHAnsi"/>
        </w:rPr>
        <w:t>technicko-</w:t>
      </w:r>
      <w:r w:rsidRPr="008945E2">
        <w:rPr>
          <w:rFonts w:asciiTheme="minorHAnsi" w:hAnsiTheme="minorHAnsi" w:cstheme="minorHAnsi"/>
        </w:rPr>
        <w:t>teoretické</w:t>
      </w:r>
      <w:proofErr w:type="spellEnd"/>
      <w:r w:rsidRPr="008945E2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doporučení</w:t>
      </w:r>
      <w:r w:rsidRPr="008945E2">
        <w:rPr>
          <w:rFonts w:asciiTheme="minorHAnsi" w:hAnsiTheme="minorHAnsi" w:cstheme="minorHAnsi"/>
        </w:rPr>
        <w:t xml:space="preserve">. </w:t>
      </w:r>
    </w:p>
    <w:p w14:paraId="076F8CA8" w14:textId="717B2012" w:rsidR="008945E2" w:rsidRPr="00117E2C" w:rsidRDefault="008945E2" w:rsidP="00117E2C">
      <w:pPr>
        <w:spacing w:line="278" w:lineRule="auto"/>
        <w:rPr>
          <w:rFonts w:asciiTheme="minorHAnsi" w:hAnsiTheme="minorHAnsi" w:cstheme="minorHAnsi"/>
        </w:rPr>
      </w:pPr>
    </w:p>
    <w:p w14:paraId="6A3E5760" w14:textId="323359CF" w:rsidR="0023596A" w:rsidRDefault="0023596A" w:rsidP="008945E2">
      <w:pPr>
        <w:spacing w:line="278" w:lineRule="auto"/>
        <w:jc w:val="center"/>
        <w:rPr>
          <w:rFonts w:asciiTheme="minorHAnsi" w:hAnsiTheme="minorHAnsi" w:cstheme="minorHAnsi"/>
          <w:sz w:val="32"/>
          <w:szCs w:val="32"/>
        </w:rPr>
      </w:pPr>
      <w:r w:rsidRPr="003A70B1">
        <w:rPr>
          <w:rFonts w:asciiTheme="minorHAnsi" w:hAnsiTheme="minorHAnsi" w:cstheme="minorHAnsi"/>
          <w:sz w:val="32"/>
          <w:szCs w:val="32"/>
        </w:rPr>
        <w:t>Hodnocení</w:t>
      </w:r>
    </w:p>
    <w:p w14:paraId="07630B22" w14:textId="1DD6E06C" w:rsidR="0029641F" w:rsidRDefault="0049006B" w:rsidP="0049006B">
      <w:r w:rsidRPr="0049006B">
        <w:t xml:space="preserve">Kemp byl ze strany trenérů i účastníků hodnocen velmi pozitivně. Trenéři ocenili, jak atleti zvládli zapojení procesů z předchozího konzultovaného RTC do své přípravy, což se projevilo v jejich pokrocích a celkové </w:t>
      </w:r>
      <w:r w:rsidR="00117E2C">
        <w:t xml:space="preserve">lepší </w:t>
      </w:r>
      <w:r w:rsidRPr="0049006B">
        <w:t xml:space="preserve">připravenosti. </w:t>
      </w:r>
      <w:proofErr w:type="spellStart"/>
      <w:r w:rsidRPr="0049006B">
        <w:t>Fyzio</w:t>
      </w:r>
      <w:proofErr w:type="spellEnd"/>
      <w:r w:rsidRPr="0049006B">
        <w:t xml:space="preserve"> diagnostika, která byla nedílnou součástí programu, přinesla cenné informace o stavu jednotlivých atletů a pomohla identifikovat oblasti, na které je potřeba se v budoucnu více zaměřit. Trenéři také vyzdvihli důležitost regeneračních aktivit, jako byla sauna, bazén a vířivka</w:t>
      </w:r>
      <w:r w:rsidR="0029641F">
        <w:t xml:space="preserve">. </w:t>
      </w:r>
    </w:p>
    <w:p w14:paraId="1832CB90" w14:textId="3AD4F00E" w:rsidR="0049006B" w:rsidRDefault="0049006B" w:rsidP="0049006B">
      <w:r w:rsidRPr="0049006B">
        <w:t xml:space="preserve">Technické házení a průpravná cvičení byla hodnocena jako velmi efektivní, přičemž </w:t>
      </w:r>
      <w:r w:rsidR="00117E2C">
        <w:t xml:space="preserve">někteří </w:t>
      </w:r>
      <w:r w:rsidRPr="0049006B">
        <w:t>atleti prokázali zřetelné zlepšení v technice odhodu a celkové koordinaci pohybů. Házení, které bylo zařazeno dvakrát během tréninkového cyklu, pomohlo atletům upevnit naučené dovednosti a připravit se na další fáze přípravy. Kemp byl celkově hodnocen jako velmi přínosný, a to jak z hlediska technického zdokonalení, tak z hlediska fyzické přípravy a regenerace. Spokojenost s ubytováním, stravou a zázemím pro oštěpaře byla také vysoká, což přispělo k celkovému úspěchu kempu</w:t>
      </w:r>
      <w:r w:rsidR="00117E2C">
        <w:t>.</w:t>
      </w:r>
    </w:p>
    <w:p w14:paraId="376584A5" w14:textId="1CF19B00" w:rsidR="0029641F" w:rsidRPr="0049006B" w:rsidRDefault="0029641F" w:rsidP="0049006B"/>
    <w:p w14:paraId="3A290A88" w14:textId="7BD40518" w:rsidR="0049006B" w:rsidRPr="0049006B" w:rsidRDefault="0029641F" w:rsidP="0049006B">
      <w:r>
        <w:rPr>
          <w:noProof/>
        </w:rPr>
        <w:drawing>
          <wp:anchor distT="0" distB="0" distL="114300" distR="114300" simplePos="0" relativeHeight="251658240" behindDoc="0" locked="0" layoutInCell="1" allowOverlap="1" wp14:anchorId="25CC01DD" wp14:editId="3C4676BC">
            <wp:simplePos x="0" y="0"/>
            <wp:positionH relativeFrom="column">
              <wp:posOffset>535940</wp:posOffset>
            </wp:positionH>
            <wp:positionV relativeFrom="paragraph">
              <wp:posOffset>13970</wp:posOffset>
            </wp:positionV>
            <wp:extent cx="5419725" cy="4064794"/>
            <wp:effectExtent l="0" t="0" r="0" b="0"/>
            <wp:wrapNone/>
            <wp:docPr id="2107885718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7885718" name="Obrázek 2107885718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9725" cy="40647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9006B" w:rsidRPr="0049006B" w:rsidSect="00C878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19" w:right="991" w:bottom="1417" w:left="851" w:header="426" w:footer="2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122AB" w14:textId="77777777" w:rsidR="00BA0DB2" w:rsidRDefault="00BA0DB2" w:rsidP="00045456">
      <w:pPr>
        <w:spacing w:after="0" w:line="240" w:lineRule="auto"/>
      </w:pPr>
      <w:r>
        <w:separator/>
      </w:r>
    </w:p>
  </w:endnote>
  <w:endnote w:type="continuationSeparator" w:id="0">
    <w:p w14:paraId="512E7216" w14:textId="77777777" w:rsidR="00BA0DB2" w:rsidRDefault="00BA0DB2" w:rsidP="00045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NeueLT Pro 57 Cn">
    <w:altName w:val="Arial"/>
    <w:panose1 w:val="00000000000000000000"/>
    <w:charset w:val="00"/>
    <w:family w:val="swiss"/>
    <w:notTrueType/>
    <w:pitch w:val="variable"/>
    <w:sig w:usb0="800000AF" w:usb1="5000205B" w:usb2="00000000" w:usb3="00000000" w:csb0="0000009B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0B60D" w14:textId="77777777" w:rsidR="00E06F92" w:rsidRDefault="00E06F9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C074F" w14:textId="7EF46F65" w:rsidR="00045456" w:rsidRPr="00EB714E" w:rsidRDefault="007B2B30" w:rsidP="00CE1780">
    <w:pPr>
      <w:pStyle w:val="Zpat"/>
      <w:ind w:left="-142" w:right="-285"/>
      <w:jc w:val="center"/>
    </w:pPr>
    <w:r>
      <w:rPr>
        <w:noProof/>
      </w:rPr>
      <w:drawing>
        <wp:inline distT="0" distB="0" distL="0" distR="0" wp14:anchorId="4FCF97A3" wp14:editId="0B3B59E5">
          <wp:extent cx="6386830" cy="131445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6830" cy="1314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1AA59" w14:textId="77777777" w:rsidR="00E06F92" w:rsidRDefault="00E06F9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88A64" w14:textId="77777777" w:rsidR="00BA0DB2" w:rsidRDefault="00BA0DB2" w:rsidP="00045456">
      <w:pPr>
        <w:spacing w:after="0" w:line="240" w:lineRule="auto"/>
      </w:pPr>
      <w:r>
        <w:separator/>
      </w:r>
    </w:p>
  </w:footnote>
  <w:footnote w:type="continuationSeparator" w:id="0">
    <w:p w14:paraId="351A35EF" w14:textId="77777777" w:rsidR="00BA0DB2" w:rsidRDefault="00BA0DB2" w:rsidP="000454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1BB8D" w14:textId="77777777" w:rsidR="00E06F92" w:rsidRDefault="00E06F9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C50A4" w14:textId="3BF0CF7B" w:rsidR="00045456" w:rsidRPr="00CE1780" w:rsidRDefault="007B2B30" w:rsidP="00CE1780">
    <w:pPr>
      <w:pStyle w:val="Zhlav"/>
      <w:ind w:left="-142"/>
    </w:pPr>
    <w:r>
      <w:rPr>
        <w:noProof/>
      </w:rPr>
      <w:drawing>
        <wp:inline distT="0" distB="0" distL="0" distR="0" wp14:anchorId="28CBEB9F" wp14:editId="2AF96051">
          <wp:extent cx="6386830" cy="66675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683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441A6" w14:textId="77777777" w:rsidR="00E06F92" w:rsidRDefault="00E06F9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17182"/>
    <w:multiLevelType w:val="multilevel"/>
    <w:tmpl w:val="C3CE6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D52"/>
    <w:rsid w:val="00045456"/>
    <w:rsid w:val="00081E31"/>
    <w:rsid w:val="00082DAE"/>
    <w:rsid w:val="000870F9"/>
    <w:rsid w:val="000F0AAE"/>
    <w:rsid w:val="00100F81"/>
    <w:rsid w:val="00117E2C"/>
    <w:rsid w:val="001349E1"/>
    <w:rsid w:val="001751FA"/>
    <w:rsid w:val="001B30F2"/>
    <w:rsid w:val="001F5604"/>
    <w:rsid w:val="00213F7C"/>
    <w:rsid w:val="00215CAC"/>
    <w:rsid w:val="00232047"/>
    <w:rsid w:val="0023596A"/>
    <w:rsid w:val="00271DD2"/>
    <w:rsid w:val="0029641F"/>
    <w:rsid w:val="00302516"/>
    <w:rsid w:val="00307D75"/>
    <w:rsid w:val="00385AC7"/>
    <w:rsid w:val="003A70B1"/>
    <w:rsid w:val="003B5894"/>
    <w:rsid w:val="003D21D2"/>
    <w:rsid w:val="003F6B9D"/>
    <w:rsid w:val="00401F66"/>
    <w:rsid w:val="00412031"/>
    <w:rsid w:val="00443252"/>
    <w:rsid w:val="0048574F"/>
    <w:rsid w:val="0049006B"/>
    <w:rsid w:val="00492A1D"/>
    <w:rsid w:val="00497DD4"/>
    <w:rsid w:val="004C6CA0"/>
    <w:rsid w:val="00553F14"/>
    <w:rsid w:val="00566AEB"/>
    <w:rsid w:val="00591D06"/>
    <w:rsid w:val="005B7926"/>
    <w:rsid w:val="005D3C72"/>
    <w:rsid w:val="005F3195"/>
    <w:rsid w:val="005F4BFB"/>
    <w:rsid w:val="00632235"/>
    <w:rsid w:val="00634928"/>
    <w:rsid w:val="00636E49"/>
    <w:rsid w:val="006404EB"/>
    <w:rsid w:val="00692ADA"/>
    <w:rsid w:val="006B48C7"/>
    <w:rsid w:val="006C0D43"/>
    <w:rsid w:val="006E0D24"/>
    <w:rsid w:val="006E17A4"/>
    <w:rsid w:val="00713848"/>
    <w:rsid w:val="00773670"/>
    <w:rsid w:val="007A0A59"/>
    <w:rsid w:val="007B2B30"/>
    <w:rsid w:val="007B44C2"/>
    <w:rsid w:val="007B4602"/>
    <w:rsid w:val="007B4CFD"/>
    <w:rsid w:val="008945E2"/>
    <w:rsid w:val="008D3B86"/>
    <w:rsid w:val="008D6788"/>
    <w:rsid w:val="008F2754"/>
    <w:rsid w:val="00945290"/>
    <w:rsid w:val="00983E2B"/>
    <w:rsid w:val="009900D7"/>
    <w:rsid w:val="0099775A"/>
    <w:rsid w:val="009B3AFC"/>
    <w:rsid w:val="009C71FC"/>
    <w:rsid w:val="009D03AD"/>
    <w:rsid w:val="009E29C0"/>
    <w:rsid w:val="00A13CB7"/>
    <w:rsid w:val="00A27B07"/>
    <w:rsid w:val="00A40AFA"/>
    <w:rsid w:val="00A5264C"/>
    <w:rsid w:val="00A564F4"/>
    <w:rsid w:val="00A91B33"/>
    <w:rsid w:val="00AA3E43"/>
    <w:rsid w:val="00AC6E49"/>
    <w:rsid w:val="00AD38ED"/>
    <w:rsid w:val="00AD78C2"/>
    <w:rsid w:val="00B34232"/>
    <w:rsid w:val="00B477F1"/>
    <w:rsid w:val="00BA0DB2"/>
    <w:rsid w:val="00BA4E93"/>
    <w:rsid w:val="00BC7182"/>
    <w:rsid w:val="00C33D52"/>
    <w:rsid w:val="00C563EF"/>
    <w:rsid w:val="00C8783D"/>
    <w:rsid w:val="00CA0C99"/>
    <w:rsid w:val="00CA1BFD"/>
    <w:rsid w:val="00CA21B7"/>
    <w:rsid w:val="00CC5C6B"/>
    <w:rsid w:val="00CE1780"/>
    <w:rsid w:val="00CF3B16"/>
    <w:rsid w:val="00D508DE"/>
    <w:rsid w:val="00D5396D"/>
    <w:rsid w:val="00D555CA"/>
    <w:rsid w:val="00D835CE"/>
    <w:rsid w:val="00DB7AF9"/>
    <w:rsid w:val="00DE6BAA"/>
    <w:rsid w:val="00E06F92"/>
    <w:rsid w:val="00E10D7B"/>
    <w:rsid w:val="00E158F8"/>
    <w:rsid w:val="00E17440"/>
    <w:rsid w:val="00E610F2"/>
    <w:rsid w:val="00E97A87"/>
    <w:rsid w:val="00EB714E"/>
    <w:rsid w:val="00ED1E0B"/>
    <w:rsid w:val="00ED2FFB"/>
    <w:rsid w:val="00F041F8"/>
    <w:rsid w:val="00F1002B"/>
    <w:rsid w:val="00F42928"/>
    <w:rsid w:val="00F563DD"/>
    <w:rsid w:val="00F70561"/>
    <w:rsid w:val="00FA462D"/>
    <w:rsid w:val="00FB4B5F"/>
    <w:rsid w:val="00FC5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62527F"/>
  <w15:chartTrackingRefBased/>
  <w15:docId w15:val="{8D6A86B7-67F0-4755-93D9-8B70C88B6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D5396D"/>
    <w:pPr>
      <w:keepNext/>
      <w:keepLines/>
      <w:autoSpaceDE w:val="0"/>
      <w:autoSpaceDN w:val="0"/>
      <w:adjustRightInd w:val="0"/>
      <w:spacing w:before="120" w:after="120" w:line="276" w:lineRule="auto"/>
      <w:jc w:val="center"/>
      <w:outlineLvl w:val="0"/>
    </w:pPr>
    <w:rPr>
      <w:rFonts w:ascii="HelveticaNeueLT Pro 57 Cn" w:eastAsia="Times New Roman" w:hAnsi="HelveticaNeueLT Pro 57 Cn"/>
      <w:b/>
      <w:color w:val="000000"/>
      <w:sz w:val="50"/>
      <w:szCs w:val="1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454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45456"/>
  </w:style>
  <w:style w:type="paragraph" w:styleId="Zpat">
    <w:name w:val="footer"/>
    <w:basedOn w:val="Normln"/>
    <w:link w:val="ZpatChar"/>
    <w:uiPriority w:val="99"/>
    <w:unhideWhenUsed/>
    <w:rsid w:val="000454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45456"/>
  </w:style>
  <w:style w:type="paragraph" w:styleId="Textbubliny">
    <w:name w:val="Balloon Text"/>
    <w:basedOn w:val="Normln"/>
    <w:link w:val="TextbublinyChar"/>
    <w:uiPriority w:val="99"/>
    <w:semiHidden/>
    <w:unhideWhenUsed/>
    <w:rsid w:val="006404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6404EB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D5396D"/>
    <w:rPr>
      <w:rFonts w:ascii="HelveticaNeueLT Pro 57 Cn" w:eastAsia="Times New Roman" w:hAnsi="HelveticaNeueLT Pro 57 Cn"/>
      <w:b/>
      <w:color w:val="000000"/>
      <w:sz w:val="50"/>
      <w:szCs w:val="10"/>
      <w:lang w:eastAsia="en-US"/>
    </w:rPr>
  </w:style>
  <w:style w:type="paragraph" w:styleId="Odstavecseseznamem">
    <w:name w:val="List Paragraph"/>
    <w:basedOn w:val="Normln"/>
    <w:uiPriority w:val="34"/>
    <w:qFormat/>
    <w:rsid w:val="00D5396D"/>
    <w:pPr>
      <w:autoSpaceDE w:val="0"/>
      <w:autoSpaceDN w:val="0"/>
      <w:adjustRightInd w:val="0"/>
      <w:spacing w:after="120" w:line="276" w:lineRule="auto"/>
      <w:ind w:left="720"/>
      <w:contextualSpacing/>
    </w:pPr>
    <w:rPr>
      <w:rFonts w:cs="Calibri"/>
      <w:sz w:val="24"/>
      <w:szCs w:val="24"/>
    </w:rPr>
  </w:style>
  <w:style w:type="paragraph" w:styleId="Normlnweb">
    <w:name w:val="Normal (Web)"/>
    <w:basedOn w:val="Normln"/>
    <w:uiPriority w:val="99"/>
    <w:unhideWhenUsed/>
    <w:rsid w:val="00D539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8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tletika\15\drobnosti\do_wordu\dopis_CAS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dopis_CAS</Template>
  <TotalTime>1</TotalTime>
  <Pages>3</Pages>
  <Words>703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Gattringer</dc:creator>
  <cp:keywords/>
  <dc:description/>
  <cp:lastModifiedBy>Michaela Treglerová</cp:lastModifiedBy>
  <cp:revision>2</cp:revision>
  <cp:lastPrinted>2024-02-21T12:22:00Z</cp:lastPrinted>
  <dcterms:created xsi:type="dcterms:W3CDTF">2025-02-19T10:36:00Z</dcterms:created>
  <dcterms:modified xsi:type="dcterms:W3CDTF">2025-02-19T10:36:00Z</dcterms:modified>
</cp:coreProperties>
</file>